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государственное бюджетное образовательное учреждение высшего образования «Омский государственный аграрный университет имени П.А. Столыпина» (далее – истец) обратилось в Арбитражный суд Омской области с иском к обществу с ограниченной ответственностью Охранное предприятие «Мастифф» (далее – ответчик) о взыскании неустойки в сумме 654 522 рублей 48 копеек за ненадлежащее исполнение обязательств по контракту от 28.05.2018 № А-ОГ-027/18СМП (далее – контракт). 2 Решением Арбитражного суда Омской области от 10.12.2019 требования истца удовлетворены в полном объеме. Постановлением Восьмого арбитражного апелляционного суда от 17.02.2020 решение суда первой инстанции изменено, с ответчика в пользу истца взыскан штраф в сумме 30 000 рублей, в удовлетворении остальной части требований истцу отказано. Арбитражный суд Западно-Сибирского округа постановлением от 02.07.2020 оставил без изменения постановление суда апелляционной инстанции. Истец обратился в Верховный Суд Российской Федерации с кассационной жалобой на указанные постановления судов апелляционной и кассационной инстанций, в которой просит их отменить, оставив в силе решение суда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 и установив, что являясь исполнителем по заключенному с истцом (заказчиком) контракту, ответчик исполнял обязательства по контракту ненадлежащим образом, и за указанные нарушения начисленный истцом штраф является не договорной, а законной неустойкой, предусмотренной статьей 34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размер которой с учетом подпункта «б» пункта 6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3 исполнения поставщиком (подрядчиком, исполнителем) обязательства, предусмотренного контрактом, утвержденных постановлением Правительства Российской Федерации от 30.08.2017 № 1042, устанавливается в сумме 5 000 рублей за каждое нарушение, суд апелляционной инстанции удовлетворил требования истца в соответствующей части исходя из количества допущенных ответчиком нарушений и установленного названной нормой размера штрафа. Суд кассационной инстанции согласился с указанными выводами и оставил без изменения постановление суда апелляционной инстанции. Обжалуя постановления судов апелляционной и кассационной инстанций в Верховный Суд Российской Федерации, истец приводит доводы, которые являлись предметом рассмотрения судов и получили правовую оценку с учетом установленных обстоятельств дела, связанных с условиями контракта, не предусматривающими стоимостного выражения допущенных ответчиком нарушений. Доводы истца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Изложенные в жалобе доводы истца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истца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