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25.12.2019, оставленным без изменения постановлением Первого арбитражного апелляционного суда от 18.03.2020 и постановлением Арбитражного суда Волго-Вятского округа от 07.08.2020, исковое требование удовлетворено. 2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в удовлетворении иска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(поставщик) заключен государственный контракт на поставку товара (семена картофеля). Во исполнение контракта общество поставило учреждению товар, что подтверждается товарными накладными и актами приема-передачи. Заказчик оплатил поставленный товар частично. Претензия с требованием погасить задолженность по оплате поставленного товара оставлена учреждением без удовлетворения, что послужило основанием для обращения общества в арбитражный суд. Рассматривая спор, суды установили, что факт поставки товара ненадлежащего качества и его принятие заказчиком подтверждается совокупностью представленных в материалы дела доказательств и учреждением не оспаривается. При этом доказательств оплаты полученного товара в полном объеме материалы дела не содержат. Представленный обществом расчет неустойки судами проверен и признан верным, доказательств несоразмерности неустойки последствиям нарушенного обязательства не представлено. Учитывая установленные обстоятельства, руководствуясь положениями статей 309, 310, 329, 330, 333, 401, 506, 526 Гражданского кодекса Российской Федерации, судебные инстанции пришли к выводу о наличии правовых оснований для удовлетворения требований общества в заявленном размере. Доводы, изложенные в кассационной жалобе, в том числе о нарушении обществом сроков поставки товара, об оплате товара в полном объеме платежными поручениями от 22.04.2020 и о необходимости снижения неустойки в порядке статьи 333 Гражданского кодекса Российской Федерации, были предметом рассмотрения судов и получили надлежащую правовую оценку. 3 Приведенные доводы не опровергают выводы судов, не подтверждают существенных нарушений норм материального и процессуального права, повлиявших на исход дела, и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20 Главного управления Федеральной службы исполнения наказаний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