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«Проф коллекшн»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К участию в деле в качестве третьих лиц, не заявляющих самостоятельные требования, привлечены Минаева Дина Николаевна и Минаев Сергей Вячеславович. Решением Арбитражного суда города Москвы от 23.01.2020, оставленным без изменения постановлением Девятого арбитражного 2 апелляционного суда от 05.06.06.2020, общество привлечено к административной ответственности, предусмотренной частью 2 статьи 14.57 КоАП РФ, с назначением наказания в виде административного штрафа в размере 275 000 рублей. Арбитражный суд Московского округа постановлением от 26.08.2020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назначенного административного штрафа, снизив его размер.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при совершении действий, направленных на возврат просроченной задолженности путем телефонных переговоров с третьим лицом, общество допустило нарушение требований Федерального закона от 30.07.2016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организациях», суд первой инстанции пришел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 первой инстанции привлек общество к административной ответственности, предусмотренной 3 частью 2 статьи 14.57 КоАП РФ, назначив наказание в виде административного штрафа в размере 275 000 рублей. Суды апелляционной и кассационной инстанций согласились с указанными выводами.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 и подлежащим назначению обществу наказанию с учетом повторного совершения однородного деяния и отсутствия смягчающих ответственность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