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невозможность несения расходов на уплату государственной 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«Премьер»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