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26.10.2020 с ходатайством о восстановлении срока, обоснованным получением постановления окружного суда по истечении двух месяцев после вынесения. Согласно статье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и этот срок может быть восстановлен при пропуске его по не зависящим от заявителя причинам. В отсутствие отступлений арбитражного суда от сроков рассылки и официального опубликования постановления от 16.06.2020 (часть 1 статьи 177 и часть 6 статьи 121, часть 4 статьи 271 Арбитражного процессуального кодекса Российской Федерации) пропуск срока подачи жалобы не может обосновываться ожиданием получения сведений об этом судебном акте и такая причина пропуска срока не создает основания для его восстановления.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«Промобслуживание С» в восстановлении срока подачи кассационной жалобы на решение Арбитражного суда Свердловской области от 25.12.2019 по делу № А60-49510/2019, постановление Семнадцатого арбитражного апелляционного суда от 03.03.2020 и постановление Арбитражного суда Уральского округа от 16.06.2020 по тому же делу. Возвратить обществу с ограниченной ответственностью «Фирма «Промобслуживание С»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