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09.10.2019, оставленным без изменения постановлением Девятого арбитражного апелляционного суда от 16.01.2020 и постановлением Арбитражного суда Московского округа от 30.07.2020, в удовлетворении заявленных требований отказано. 2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между учреждением (заказчик) и предпринимателем (поставщик) заключен контракт на поставку приборов и аппаратуры для оснащения клинико-диагностической лаборатории. Ввиду неоднократного нарушения поставщиком принятых на себя по контракту обязательств (несоблюдения сроков поставки товара и его ввода в эксплуатацию, а также порядка представления документации; поставки товара, не соответствующего условиям контракта) заказчиком принято решение об одностороннем отказе от исполнения контракта и сведения в отношении предпринимателя направлены в антимонопольный орган для рассмотрения вопроса о включении в реестр недобросовестных поставщиков. Решением управления во включении сведений о предпринимателе в реестр недобросовестных поставщиков отказано. Считая решение незаконным, учреждение обратилось в арбитражный суд. Оценив представленные в материалы дела доказательства, суды, руководствуясь положениями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учитывая условия заключенного между сторонами контракта, пришли к выводу о том, что решение антимонопольного органа соответствует действующему законодательству и не нарушает права и законные интересы учреждения. Судебные инстанции исходили из того, что отказ от подписания акта приема-передачи товара и претензия о нарушении исполнения контракта подготовлены и направлены учреждением в адрес предпринимателя по истечении срока действия контракта. При этом задержка в поставке товара вызвана действиями самого заказчика, а представленные предпринимателем доказательства свидетельствуют о соответствии поставленного товара требованиям контракта. 3 Доводы, изложенные в кассационной жалобе, не подтверждают существенных нарушений норм материального и процессуального права, повлиявших на исход дела, по сути, выражают несогласие учреждения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