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08.11.2019 первоначальный иск удовлетворен, в удовлетворении встречного иска отказано. Постановлением Восемнадцатого арбитражного апелляционного суда от 10.02.2020 решение суда первой инстанции изменено, первоначальный иск 2 удовлетворен частично, с общества «СпецСнабПроект» в пользу общества «Башнефть-Строй» взыскано 121 114,2 рублей пени, распределены судебные расходы. Постановлением Арбитражного суда Уральского округа от 02.07.2020 постановление суда апелляционной инстанции оставлено без изменения. Общество «СпецСнабПроект» обратилось в Верховный Суд Российской Федерации с кассационной жалобой, в которой просит состоявшиеся судебные акты отменить, ссылаясь на допущенные, по его мнению, существенные нарушения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Суды апелляционной и кассационной инстанций, руководствуясь положениями статей 15, 393, 431, 509, 510, 523, 1064 Гражданского кодекса Российской Федерации, Федерального закона от 18.07.2011 №223-ФЗ «О закупках товаров, работ, услуг отдельными видами юридических лиц», частично удовлетворили первоначальный иск, признав факт неисполнения обществом «СпецСнабПроект» условия договора поставки в установленный срок, однако ограничили срок начисления неустойки моментом окончания срока действия договора; отказывая в удовлетворении встречного иска, суды исходили из отсутствия доказательств того, что спорная сумма является неполученным доходом, который лицо получило бы при обычных условиях гражданского оборота, если бы его право не было нарушено, требование о взыскании пеней не содержит мотивировки заявленных требований. Доводы жалобы получили исчерпывающую правовую оценку в обжалуемых судебных актах применительно к установленным обстоятельствам и условиям договора, не согласиться с которой оснований не имеется, в том числе, с учетом поведения заявителя после заключения сделки, которое давало основание другим лицам полагаться на ее действительность. 3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