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21.10.2019, оставленным без изменения постановлением Девятого арбитражного апелляционного суда от 10.02.2020 и постановлением Арбитражного суда Московского округа от 29.07.2020, в удовлетворении заявленных требований отказано. В кассационной жалобе, поданной в Верховный Суд Российской Федерации, комитет, ссылаясь на существенное нарушение норм права, просит отменить судебные акты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антимонопольный орган с жалобой на действия областной единой комиссии при проведении электронного аукциона на оказание услуг аренды автоматизированной системы весогабаритного контроля по отклонению его первой части заявки. Решением ФАС России жалоба признана обоснованной, заказчик (учреждение) и уполномоченный орган (комитет) признаны нарушившими часть 3 статьи 14, пункт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действиях аукционной комиссии установлено нарушение части 5 статьи 67 Закона о контрактной системе. В целях устранения нарушений выдано предписание, которым на учреждение, комитет и аукционную комиссию возложена обязанность отменить протокол рассмотрения заявок на участие в электронном аукционе, протокол рассмотрения заявки единственного участника электронного аукциона и рассмотреть первые части заявок, поданные участниками закупки до окончания срока подачи заявок на участие в аукционе с учетом решения антимонопольного органа. Считая ненормативные акты незаконными, комитет обратился в арбитражный суд. Оценив представленные в материалы дела доказательства, суды, руководствуясь положениями статей 14, 64, 66, 67, 99 Закона о контрактной системе, пришли к выводу о наличии у ФАС России правовых оснований для вынесения решения и предписания. Судебные инстанции исходили из неправомерного отклонения аукционной комиссией от участия в аукционе заявки общества, соответствующей требованиям инструкции и содержащей конкретные значения предлагаемого оборудования (без указания слов «и свыше»), не противоречащие техническому заданию аукционной документации. При этом судами отмечено, что термин «и свыше» не является конкретной характеристикой и конкретным показателем товара. 3 Также суды установили, что извещение о проведении аукциона и документация об аукционе не содержат запрет, предусмотренный постановлением Правительства Российской Федерации от 16.11.2016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учитывая неразмещение в Единой информационной системе обоснования невозможности соблюдения запрета на допуск программного обеспечения в соответствии с данным постановлением. Кроме того, заказчиком ненадлежащим образом установлена инструкция, поскольку указанное в ней определение союза «и» является двусмысленным, вводит участников закупки в заблуждение и препятствует надлежащему заполнению заявок на участие в аукционе. Вместе с тем суды указали на исполнение предписания в полном объеме, заключение между учреждением и обществом 15.08.2019 государственного контракта, от исполнения которого учреждением принято решение отказаться. При таких обстоятельствах избранный комитетом способ защиты не приведет к восстановлению его субъективных прав. Доводы, изложенные в кассационной жалобе, повторяют позицию комитета по спору,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 повлиявших на исход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регулированию контрактной системы в сфере закупок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