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22.11.2019 в удовлетворении иска отказано. Постановлением Девятого арбитражного апелляционного суда от 14.02.2020 решение суда первой инстанции отменено, иск удовлетворен в части взыскания с общества в пользу Министерства обороны Российской 2 Федерации неустойки в размере 8 457 757,52 рублей, в остальной части иска отказано. Постановлением Арбитражного суда Московского округа от 07.07.2020 постановление суда апелляционной инстанции оставлено без изменения. Общество обратилось в Верховный Суд Российской Федерации с кассационной жалобой, в которой просит постановления суда апелляционной инстанции и постановление суда округа отменить, считая их незаконными и необоснованными.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Исходя из доводов жалобы и принятых по делу судебных актов таких оснований не установлено. Отменяя решение суда первой инстанции и частично удовлетворяя иск, суд апелляционной инстанции руководствовался положениями статей 309, 310 и 330 Гражданского кодекса Российской Федерации и исходил из установленных обстоятельств, свидетельствующих о том, что обществом как исполнителем спорные работы в установленный контрактом срок не выполнены и заказчику не сданы, размер неустойки снижен судом на основании статьи 333 Гражданского кодекса Российской Федерации. Суд округа согласился с выводами суда апелляционной инстанции. Доводы жалобы предполагают необходимость переоценки имеющихся доказательств и установления иных фактических обстоятельств дела, что не относится к полномочиям Судебной коллегии Верховного Суда Российской Федерации, рассматривающей дело по правилам кассационного производства. 3 При этом суды указали, что приведенное обществом решение Заместителя Министра обороны Российской не имеет отношения к спорному контракту, не может являться основанием для освобождения истца от договорной ответственности при наличии исковых требований о взыскании спорной неустойки.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