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20.02.2020, оставленным без изменения постановлением Девятого арбитражного апелляционного суда от 10.06.2020 и постановлением Арбитражного суда Московского округа от 10.09.2020, в удовлетворении иска отказано. В кассационной жалобе заявитель, ссылаясь на нарушение норм материального права, просит обжалуемые судебные акты отменить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2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Указанных оснований по результатам изучения судебных актов, принятых по делу, и доводов кассационной жалобы заявителя не установлено. Принимая обжалуемые судебные акты, суды, руководствуясь положениями статей 407, 450.1 Гражданского кодекса Российской Федерации, исследовав и оценив в порядке статьи 71 АПК РФ представленные в дело доказательства, установив, что общество не исполнило в установленный срок свои обязательства по инвестиционному контракту, а возможность одностороннего отказа от контракта предусмотрена его условиями, не усмотрели оснований для удовлетворения иска. Доводы жалобы о допущенных Правительством Москвы нарушениях обязательств по контакту были предметом рассмотрения судебных инстанций и обоснованно отклонены. Ссылки на недоказанность нарушений условий сделки со стороны общества подлежат отклонению как направленные на переоценку установленных судами обстоятельств. Существенных нарушений норм материального и (или) процессуального права, повлиявших на исход дела, судами не допущено.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«КОРПОРАЦИЯ АЛЬТ»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