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31.10.2019, оставленным без изменения постановлением Девятого арбитражного апелляционного суда от 23.01.2020 и постановлением Арбитражного суда Московского округа от 16.07.2020, в удовлетворении иска отказано. В кассационной жалобе заявитель, ссылаясь на нарушение норм процессуального права, просит обжалуемые судебные акты отменить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2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Принимая обжалуемые судебные акты, суды, исследовав и оценив в порядке статьи 71 АПК РФ представленные в дело доказательства, отметив, что истец не привел предусмотренных главой 9 Гражданского кодекса Российской Федерации оснований недействительности сделки, признали недоказанным факт нарушения прав и законных интересов истца и отказали в иске. Доводы жалобы о нарушении судом первой инстанции норм процессуального права при сборе и оценке доказательств были предметом рассмотрения суда округа и обоснованно отклонены. Существенных нарушений норм материального и (или) процессуального права, повлиявших на исход дела, судами не допущено.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фермерского хозяйства Зайкову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