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05.12.2019, оставленным без изменения постановлением Двадцать первого арбитражного апелляционного суда от 19.03.2020, исковые требования удовлетворены. Постановлением Арбитражного суда Центрального округа от 03.07.2020 решение суда первой инстанции и постановление суда апелляционной инстанций отменены, дело направлено на новое рассмотрение в Арбитражный суд города Севастополя.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оставить в силе решение суда первой инстанции и постановление суда апелляционной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учли положения действующего законодательства и не исследовали все обстоятельства, имеющие существенное значение для правильного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кассационные жалобы могут быть переданы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«СтройКапитал»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