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4 359 386 рублей 17 копеек задолженности по договору субподряда от 05.05.2017 № 10/СТ. Определением Арбитражного суда Краснодарского края от 10.12.2019, оставленным без изменения постановлениями Пятнадцатого арбитражного апелляционного суда от 20.05.2020 и Арбитражного суда Северо-Кавказского округа от 15.07.2020, в удовлетворении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10, 309, 702 Гражданского кодекса Российской Федерации, статьями 19,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что заявленное требование заинтересованного по отношению к должнику общества, в том числе, реальность самой сделки и сам факт выполнения подрядных работ, не подтверждены документально, в связи с чем признали его не подлежащим включению в реестр.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«Келевра»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