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суда округа, вступившее в законную силу 25.09.2020. Жалоба направлена в Верховный Суд Российской Федерации 14.09.2020,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К кассационной жалобе приложено ходатайство о восстановлении пропущенного процессуального срока подачи кассационной жалобы. Согласно части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частями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Изучив приведенные в обоснование ходатайства доводы, судья усматривает основания для восстановления пропущенного заявителем срока на обжалование. На основании изложенного,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о восстановлении пропущенного процессуального срока подачи кассационной жалобы. Восстановить ФИО1 срок подачи кассационной жалобы на решение Арбитражного суда города Москвы от 04.03.2019, постановление Девятого арбитражного апелляционного суда от 06.06.2020 и постановление Арбитражного суда Московского округа от 25.09.2019 по делу № А40-319222/2018. Судья Верховного Суда Российской Федерации Е.Н. Золотова Суд: Верховный Суд РФ (подробнее) Истцы: ООО "ХимПартнеры" (подробнее) Ответчики: ООО "ТЕРРА - М" (подробнее) Судьи дела: Золотова Е.Н. (судья) (подробнее) Последние документы по делу: Определение от 5 ноября 2020 г. по делу № А40-319222/2018 Определение от 16 сентября 2020 г. по делу № А40-319222/2018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