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ФИО4 обратилась в суд с заявлением о признании недействительной сделки должника по дарению денежных средств от 02.06.2017 в размере 1 000 000 рублей, заключенной между должником и ФИО2 Определением Арбитражного суда города Москвы от 05.02.2020, оставленным без изменения постановлениями Девятого арбитражного апелляционного суда от 30.06.2020 и Арбитражного суда Московского округа от 20.08.2020,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совокупности условий для признания недействительной оспариваемой сделки, заключенной в период подозрительности неплатёжеспособным должником с целью причинения вреда кредиторам посредством перечисления денежных средств в пользу заявителя как недобросовестного приобретателя, что привело к необоснованному уменьшению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КБ "Альба Альянс" (подробнее) ООО "Оптима" (подробнее) ПЖСК "Железнодорожник" (подробнее) ФНС России Инспекция №31 по г. Москве (подробнее) ф/у Алтуниной Ольги Владимировны Казанкова Елена Владимировна (подробнее) Иные лица: Bundesministerium fur Justiz (подробнее) Primium Real Estate GMBH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