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требованием о восстановлении срока на предъявление требований в реестр требований о передаче жилых помещений (далее – реестр); включении в реестр о передаче ему жилого помещения в виде пятикомнатных двухуровневых апартаментов, расположенных по адресу: 5 и 6 этаж Гостиничного блока № 1 Многофункционального комплекса, Проектной общей площадью Объекта 187,1 кв.м., апартамент № 510, состоящий из 5 комнат (строительный адрес: &lt;...&gt; уч. 15юр, расположенный на земельном участке общей площадью 1,3 га, с кадастровым номером 50:21:010154:72). Определением Арбитражного суда Московской области от 04.11.2019 заявленные требования удовлетворены. Постановлением Десятого арбитражного апелляционного суда от 15.01.2020, оставленным без изменения постановлением Арбитражного суда Московского округа от 16.07.2020, вышеуказанное определение отменено; требования заявителя в размере 14 857 000 рублей признаны подлежащими удовлетворению за счёт имущества должника, оставшегося после удовлетворения требований, включенных в реестр требований кредиторов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повторно разрешая спор, апелляционный суд, руководствуясь положениями статей 16,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реестр требований о передаче жилых помещений в процедуре должника не ведётся, а само требование трансформировалось в денежное и заявлено после закрытия реестра, признал его подлежащим удовлетворению за счёт имущества должника, оставшегося после удовлетворения требований кредиторов, чьи требования заявлены в установленный срок.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банк "Национальный стандарт" (подробнее) ООО СТРОИТЕЛЬНО-МОНТАЖНАЯ КОМПАНИЯ "РАЗВИТИЕ" (подробнее) ООО "ФАМ Контракшн" (подробнее) Ответчики: ООО "Дворянское поместье" (подробнее) Иные лица: Некоммерческое партнерство "Межрегиональная Саморегулируемая Организация Арбитражных Управляющих "Стратегия" (подробнее) ООО "Крафт" (подробнее) Союз "Саморегулируемая организация арбитражных управляющих Северо-Запада" (подробнее) ФЕДЕРАЛЬНОЕ ГОСУДАРСТВЕННОЕ КАЗЕННОЕ УЧРЕЖДЕНИЕ "УПРАВЛЕНИЕ ВНЕВЕДОМСТВЕННОЙ ОХРАНЫ ВОЙСК НАЦИОНАЛЬНОЙ ГВАРДИИ РОССИЙСКОЙ ФЕДЕРАЦИИ ПО МОСКОВСКОЙ ОБЛАСТИ"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