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ФИО4 обратился в суд с жалобой на действия (бездействие) арбитражных управляющих ФИО5 и ФИО3, отстранении последнего от исполнения обязанностей финансового управляющего имуществом должника. Определением Арбитражного суда Саратовской области от 09.12.2019 в удовлетворении жалобы отказано. Постановлением Двенадцатого арбитражного апелляционного суда от 11.03.2020, оставленным без изменения постановлением Арбитражного суда Поволжского округа от 07.07.2020, вышеуказанное определение отменено; принят новый судебный акт о частичном удовлетворении жалобы.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разрешая спор в обжалуемой части, апелляционный суд руководствовался статьями 20.3, 60, 70, 129, 213.9, 213.12, 213.24, 213.26 Федерального закона от 26.10.2002 № 127-ФЗ «О несостоятельности (банкротстве)», и исходил из несоответствия оспариваемого бездействия заявителя требованиям законодательства о банкротстве, не отвечающего критериям добросовестности и разумности, повлекшего за собой затягивание процедуры банкротства, нарушение права и законных интересов должника и его кредиторов.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ФИО2 ФИО3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"Т Плюс" (подробнее) Иные лица: ИФНС России по Октябрьскоиу району г.Саратова (подробнее) ООО УК "Люксжилсеовис-С"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