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25.11.2019, оставленным без изменения постановлением Девятого арбитражного апелляционного суда от 21.02.2020 и постановлением Арбитражного суда Московского округа от 29.07.2020, в удовлетворении заявленного требования отказано. В кассационной жалобе, поданной в Верховный Суд Российской Федерации, предприниматель просит отменить судебные акты,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антимонопольный орган поступило обращение государственного заказчика – учреждения по факту уклонения предпринимателя от заключения по результатам электронного аукциона государственного контракта на выполнение работ по проведению текущего ремонта зданий и (или) сооружений. В обращении учреждение указало, что предприниматель как победитель аукциона направил заказчику подписанный проект контракта и заявил об обеспечении исполнения контракта, однако в качестве информации, подтверждающей добросовестность участника закупки, представил реестровые записи контрактов, исполнение которых не завершено. Решением управления сведения в отношении предпринимателя включены в реестр недобросовестных поставщиков сроком на два года. Признавая решение законным, суды, оценив представленные в материалы дела доказательства, пришли к выводу о наличии у управления правовых оснований для включения предпринимателя в реестр недобросовестных поставщиков ввиду допущенных им нарушений императивных требований статьи 83.2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системе). Суды установили, что обязанность, предусмотренная статьей 37 Закона о контрактной системе, предпринимателем не соблюдена, поскольку им предоставлены сведения о наличии трех контрактов, из которых исполнен только один. При этом предприниматель не принял все возможные и зависящие от него меры для соблюдения норм и правил действующего законодательства, регулирующего порядок заключения государственного контракта, не проявил необходимой внимательности и осмотрительности при осуществлении своей деятельности. Таким образом, поведение заявителя обладает признаками недобросовестности и включение сведений о нем в реестр недобросовестных поставщиков является необходимой мерой ответственности. Доводы, изложенные в кассационной жалобе, в том числе со ссылками на постановления Конституционного Суда Российской Федерации от 30.07.2001 № 13-П и от 21.11.2002 № 15-П, являлись предметом рассмотрения судов, получили правовую оценку и с учетом установленных обстоятельств не подтверждают существенных нарушений норм материального и процессуального права, повлиявших на исход дела. Приведенные доводы, по сути, выражают несогласие с выводами судов по фактическим обстоятельствам дела и основаны на ином применении к ним положений законодательства, что не может служить основанием для передачи кассационной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Ответчики: Управление Федеральной антимонопольной службы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