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«АвиаТрэйд» обратилось в суд с заявлением о включении в реестр требований кредиторов должника (далее – реестр) его требования в размере 142 589 323 рублей 36 копеек, в том числе: 109 638 978 рублей 72 копеек – основного долга, 32 950 344 рублей 64 копеек – процентов, как обеспеченного залогом имущества должника. Определением Арбитражного суда Красноярского края от 03.02.2020, оставленным без изменения постановлением Третьего арбитражного апелляционного суда от 01.06.2020, в удовлетворении заявленного требования отказано. Постановлением Арбитражного суда Восточно-Сибирского округа от 13.08.2020 вышеуказанные судебные акты изменены. Обществу «АвиаТрэйд» отказано во включении требования в реестр, а само требование признано подлежащим удовлетворению в очерёдности, предшествующей распределению ликвидационной квоты. В кассационных жалобах, поданных в Верховный Суд Российской Федерации, заявители просят отменить указанные судебные акты.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 первой и апелляционной инстанции, руководствуясь статьёй 807 Гражданского кодекса Российской Федерации, статьями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обстоятельств предоставления заявителем аффилированному должнику компенсационного финансирования с использованием заёмных правоотношений с целью выведения последнего из состояния имущественного кризиса, в связи с чем не установили правовых оснований для включения заявленного требования в реестр и установления статуса залогового кредитора. Изменяя принятые по спору судебные акты окружной суд в целом согласился с изложенными в них выводами, однако применительно положениям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утверждённого Президиумом Верховного Суда РФ 29.01.2020, указал на необходимость удовлетворения заявленного требования в очерёдности, предшествующей распределению ликвидационной квоты.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Степаненко Марии Сергеевне и обществу с ограниченной ответственностью «АвиаТрэйд»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