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– государственная корпорация «Агентство по страхованию вкладов» обратился в суд с возражениями на заявление Горбуновой Л.Н. о включении в реестр требований кредиторов должника требования о выплате страхового возмещения в размере 741 654 рублей 80 копеек. Определением Арбитражного суда города Москвы от 24.10.2019, оставленным без изменения постановлениями Девятого арбитражного апелляционного суда от 17.03.2020 и Арбитражного суда Московского округа от 16.07.2020, во включении требования отказано.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удовлетворении заявления и включении её требования в реестр требований кредиторов должника.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16, 183.16, 183.26 Федерального закона от 26.10.2002 № 127-ФЗ «О несостоятельности (банкротстве)», статьями 9, 32.8 Закона Российской Федерации от 27.11.1992 № 4015-1 «Об организации страхового дела в Российской Федерации»,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дело банкротстве», исходили из того, что обязательства должника по договору страхования прекратились в силу специальной нормы закона, а не оговоренного сторонами события – признания его банкротом, в связи с чем пришли к выводу о недоказанности наступления страхового случая и отсутствии оснований для включения заявленного требования в реестр.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Горбуновой Любови Николаевне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