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недействительными банковских операций по перечислению денежных средств в общей сумме 283 678 000 рублей. Определением Арбитражного суда города Москвы от 14.02.2019, оставленным без изменения постановлением Девятого арбитражного апелляционного суда от 09.04.2019, в удовлетворении заявления отказано. Постановлением Арбитражного суда Московского округа от 05.06.2019 вышеуказанные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26.12.2019, оставленным без изменения постановлениями Девятого арбитражного апелляционного суда от 02.03.2020 и Арбитражного суда Московского округа от 23.07.2020, заявление удовлетворено. В кассационной жалобе, поданной в Верховный Суд Российской Федерации, заявители просят отменить указанные судебные акты в части удовлетворения требований о признании недействительными совершённых с ними сделок должника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61.1, 61.3, 61.9, 189.40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установили обстоятельства совершения оспариваемых операций за пределами обычной хозяйственной деятельности, в отсутствии денежных средств на корреспондентском счёте банка и в обход других ожидающих исполнения распоряжений клиентов, изменивших очерёдность удовлетворения требований кредиторов должника, при этом правомерно применив последствия их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Мелихову Александру Валерьевичу и Мелиховой Анне Сергеевне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