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15.10.2019, оставленным без изменения постановлением суда апелляционной инстанции от 19.03.2020 и постановлением суда округа от 16.07.2020, принят отказ предпринимателя от иска в части взыскания штрафа в размере 1 249 374 руб. 30 коп., производство по делу в указанной части прекращено, исковые требования удовлетворены частично, с общества в пользу предпринимателя взыскано 2 362 981 руб. 87 коп. неустойки, в остальной части иска отказано. В кассационной жалобе заявитель, ссылаясь на нарушение судами норм материального права, просит обжалуемые судебные акты отменить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Указанных оснований по результатам изучения судебных актов, принятых по делу, и доводов кассационной жалобы заявителя не установлено. Принимая обжалуемые судебные акты суды, руководствуясь положениями статей 309 , 310 , 330 , 385 Гражданского кодекса Российской Федерации, положениями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исследовав и оценив в порядке статьи 71 АПК РФ представленные в дело доказательства, установив факт нарушения обществом обязательств по передаче объекта долевого строительства в установленный договором срок, пришли к выводу об обоснованности требований в части взыскания неустойки. Довод заявителя кассационной жалобы о неправомерном взыскании неустойки в двукратном размере рассмотрен судами и отклонен как основанный на неверном толковании норм действующего законодательства. Ссылка на то, что участнику долевого строительства в установленный договором срок было направлено сообщение о завершении строительства, а участник долевого строительства не явился для подписания акта приема- передачи объекта, не может быть принята во внимание, поскольку указанный документ не был предметом оценки судов, а у суда кассационной инстанции полномочия по оценке таких доказательств отсутствуют. Существенных нарушений норм материального и (или) процессуального права, повлиявших на исход дела, судами не допущено.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, 291.11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«Бизнес Мастер»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ООО "Бизнес-Мастер"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