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27.01.2020, оставленным без изменения постановлением Восемнадцатого арбитражного апелляционного суда от 25.05.2020 и постановлением Арбитражного суда Уральского округа от 07.08.2020,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принять новый судебный акт об удовлетворении заявленного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установлено судами, предприниматель, являющийся собственником нежилого помещения, обратился в комитет с обращением, ссылаясь на ненадлежащее оказание обществом услуги «отопление». Рассмотрев указанное обращение, комитетом вынесено предписание об исключении из платёжного документа, выставленного предпринимателю, задолженности за период с 01.01.2018 по 12.03.2019, предшествующий присоединению предпринимателя к сетям общества. Не согласившись с предписанием комитета, общество обратилось в арбитражный суд. Отказывая в удовлетворении заявленного требования,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Правилами установления и определения нормативов потребления коммунальных услуг, утвержденными постановлением Правительства Российской Федерации от 23.05.2006 № 306, Положением о Государственном комитете Республики Башкортостан по жилищному и строительному надзору, утвержденным постановлением Правительства Республики Башкортостан от 24.12.2014 № 616, пришли к выводу о законности вынесенного административным органом предписания. Судебные инстанции исходили из того, что в принадлежащем предпринимателю помещении в указанный период отсутствовала возможность принять тепловую энергию на отопление, поскольку отсутствовали теплопотребляющие установки и система отопления. Суды указали, что представленные в материалы дела доказательства свидетельствуют о том, что коммунальная услуга «отопление» подлежит оплате только с 13.03.2019, в связи с чем указание в платежных документах задолженности по ее оплате за период с 01.01.2018 по 12.03.2019 является неправомерным. Кроме того, судами обоснованно отклонены ссылки общества на правовую позицию Верховного Суда Российской Федерации, изложенную в решении от 07.05.2015 № АКПИ15-198, определениях от 07.06.2019 № 308-ЭС18-25891 и от 24.06.2019 № 309-ЭС18-21578 с учетом иных обстоятельств настоящего спора. Доводы заявителя, изложенные в жалобе, являлись предметом рассмотрения судов и им дана надлежащая правовая оценка. По сути, доводы повторяют позицию заявителя по спору, не опровергают выводы судов, не подтверждают существенных нарушений норм материального права и процессуального права, повлиявших на исход дела, а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«Башкирские распределительные тепловые сети»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"Башкирские распределительные тепловые сети" (подробнее) Ответчики: Государственный комитет Республики Башкортостан по жилищному и строительному надзору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