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«ВладФинанс» (далее – кредитор) обратилось в суд с заявлением о признании его требования, включенного в реестр требований кредиторов должника, общим обязательством супругов – Морозова В.А. и Морозовой Татьяны Ивановны. Определением Арбитражного суда Новосибирской области от 14.05.2020, оставленным без изменения постановлениями Седьмого арбитражного апелляционного суда от 13.07.2020 и Арбитражного суда Западно-Сибирского округа от 01.09.2020, заявление кредитора удовлетворено. В кассационной жалобе, поданной в Верховный Суд Российской Федерации, заявитель просит отменить указанные судебные акты и прекратить производство по спору.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 руководствовались статьями 34, 39, 45 Семейного кодекса Российской Федерации, статьями 213.8, 213.19, 213.24 Федерального закона от 26.10.2002 № 127-ФЗ «О несостоятельности (банкротстве)», пунктом 5 Обзора судебной практики Верховного Суда Российской Федерации № 1 (2016), утверждённым Президиумом Верховного Суда Российской Федерации 13.04.2016, и исходили из того, что заёмные обязательства супругов являлись общими, возникли к период брака и были направлены на нужды семьи, в связи с чем пришли к выводу о наличии оснований для удовлетворения заявления кредитора.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Морозову Виктору Андреевичу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