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Воронежской области от 30.10.2019 исковое требование удовлетворено. Постановлением Девятнадцатого арбитражного апелляционного суда от 20.02.2020 решение суда первой инстанции отменено в части взыскания 38 937 рублей 50 копеек убытков и производство по делу в указанной части прекращено в связи с отказом общества от иска; в остальной части решение суда оставлено без изменения. 2 Постановлением Арбитражного суда Центрального округа от 04.08.2020 постановление суда апелляционной инстанции оставлено без изменения. В кассационной жалобе, поданной в Верховный Суд Российской Федерации, учреждение, ссылаясь на существенное нарушение норм права, просит отменить судебные акты в части взыскания убытков и направить дело в указанной части на новое рассмотрение.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между учреждением (заказчик) и обществом (поставщик) заключен контракт на поставку реагентов диагностических (далее – товар). Во исполнение условий контракта общество поставило товар на общую сумму 890 000 рублей, который учреждением принят без замечаний и оплачен. Оставшийся товар на общую сумму 667 500 рублей учреждением не принят. Неисполнение претензий о направлении предусмотренных контрактом заявок и принятии поставляемого в срок товара послужило основанием для обращения общества с настоящим иском в арбитражный суд. Рассматривая спор в обжалуемой части, суды установили, что условиями контракта предусмотрено исполнение обязательства по частям, товар поставляется на основании заявок заказчика; срок поставки товара – до 31.12.2016. Истец предпринял необходимые меры для надлежащего исполнения обязательства по поставке товара к указанному сроку: своевременно приобрел подлежащий поставке товар, уведомил ответчика о готовности к поставке и необходимости направления заявок, а также о доставке оставшегося товара в последний день исполнения контракта. Вместе с тем, не исполняя встречное обязательство по направлению заявок на весь предусмотренный контрактом товар, заказчик действовал недобросовестно и необоснованно не принял постановленный в срок товар. Доказательств наличия объективных причин, воспрепятствовавших в принятии товара, а также наличия оснований, которые бы освобождали заказчика от исполнения договорных обязательств, не представлено. 3 При этом согласно экспертному заключению на дату поставки товар соответствовал условиям контракта и был пригоден к использованию. В настоящий момент изделия медицинского назначения для поставки и реализации третьим лицам с учетом фактического состояния не пригодны. Учитывая установленные обстоятельства, руководствуясь положениями статей 15, 309, 310, 327.1, 393, 406, 407, 425, 431, 458, 484, 509, 510, 513, 525, 526, 531 Гражданского кодекса Российской Федерации, статьи 94 Федерального закона от 05.04.2013 № 44-ФЗ «О контрактной системе в сфере закупок товаров, работ, услуг для обеспечения государственных и муниципальных нужд», разъяснениями, изложенными в пункте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судебные инстанции пришли к выводу о наличии у истца убытков в виде стоимости не принятого заказчиком товара на сумму 628 562 рубля 50 копеек. Довод о неправомерном принятии заявления об уточнении исковых требований в порядке статьи 49 Арбитражного процессуального кодекса Российской Федерации рассмотрен судами и мотивированно отклонен. Иные доводы, изложенные в кассационной жалобе, в том числе о недоказанности размера убытков, непринятии истцом мер для обеспечения качественных характеристик товара и по реализации годного товара третьим лицам, повторяют позицию учреждения по спору и не опровергают выводы судов, основанные на нормах действующего законодательства и установленных обстоятельствах дела. Несогласие учреждения с выводами судов, иная оценка им фактических обстоятельств дела и иное применение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кассационной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бюджетному учреждению здравоохранения Воронежской области «Новоусманская районная больница»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