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22.10.2020 подает кассационную жалобу на судебные акты по делу № А11-16464/2018 с ходатайством о восстановлении срока на обжалование. Срок на подачу кассационной жалобы общество считает пропущенным в связи с получением 22.08.2020 по почте постановления Арбитражного суда Волго-Вятского округа от 13.08.2020. Согласно статье 291.2 Арбитражного процессуального кодекса Российской Федерации кассационная жалоба подается в срок, не превышающий двух месяцев со дня вступления в силу последнего обжалуемого судебного акта, и этот срок может быть восстановлен при пропуске его по не зависящим от заявителя причинам. Исчисление срока на обжалование с момента получения копии судебного акта в отсутствие отступлений арбитражного суда от сроков его рассылки и официального опубликования (часть 1 статьи 177 , часть 4 статьи 271 Арбитражного процессуального кодекса Российской Федерации) не создает основания для восстановления срока. Руководствуясь статьей 184 , статьей 291.2 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«Кристалл-АС» в восстановлении срока подачи кассационной жалобы на решение Арбитражного суда Владимирской области от 07.10.2019 по делу № А11-16464/2018, постановление Первого арбитражного апелляционного суда от 13.02.2020 и постановление Арбитражного суда Волго-Вятского округа от 13.08.2020 по тому же делу. Возвратить обществу с ограниченной ответственностью «Кристалл-АС» кассационную жалобу. Возвратить обществу с ограниченной ответственностью «Кристалл-АС» из федерального бюджета 6 000 (шесть тысяч) рублей государственной пошлины, уплаченной за подачу кассационной жалобы платежным поручением от 21.10.2020 № 55. Судья Верховного Суда Российской Федерации Н.А. Ксенофонтова Суд: Верховный Суд РФ (подробнее) Истцы: ООО ТД "Альтернатива" (подробнее) Ответчики: ООО "Кристалл-АС"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