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Министерство транспорта и дорожного хозяйства Краснодарского края (далее – истец) обратилось в Арбитражный суд Краснодарского края с иском к обществу с ограниченной ответственностью «ЮМС» (далее – ответчик) о взыскании 387 057 рублей 15 копеек неустойки с 15.12.2018 по 28.03.2019 за нарушение срока выполнения работ по государственному контракту от 17.09.2018 № 646 (далее – контракт). Решением Арбитражного суда Краснодарского края от 16.12.2019, оставленным без изменения постановлением Пятнадцатого арбитражного апелляционного суда от 19.02.2020, с ответчика в пользу истца взыскано 350 404 рубля 20 копеек пеней за период с 18.12.2018 по 28.03.2019, в удовлетворении остальной части требований истцу отказано. Арбитражный суд Северо-Кавказского округа постановлением от 06.07.2020 оставил без изменения решение суда первой инстанции и постановление суда апелляционной инстанции. Ответчик обратился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 и установив, что являясь подрядчиком по заключенному с истцом (заказчиком) контракту, ответчик нарушил сроки выполнения работ, руководствуясь положениями Гражданского кодекса Российской Федерации, суды пришли к выводу о правомерности требований истца о взыскании с ответчика неустойки и удовлетворили их с учетом определения действительного периода просрочки исполнения обязательств. Обжалуя судебные акты в Верховный Суд Российской Федерации, ответчик приводит доводы, которые являлись предметом рассмотрения судов и получили правовую оценку с учетом установленных обстоятельств дела, связанных с условиями контракта и размером подлежащей взысканию с ответчика неустойки. Доводы ответчика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Изложенные в жалобе доводы ответчика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ответчика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Министерство транспорта и дорожного хозяйства Кк (подробнее) МИНИСТЕРСТВО ТРАНСПОРТА И ДОРОЖНОГО ХОЗЯЙСТВА КРАСНОДАРСКОГО КРАЯ (подробнее) Ответчики: ООО "ЮМС"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