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податель жалобы просит об отсрочке уплаты государственной пошлины, представляя справки обслуживающих банков о состоянии счетов, принадлежность которых подтверждает сведениями налогового органа. Согласно статье 102 Арбитражного процессуального кодекса Российской Федерации и пункту 2 статьи 333.22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плательщика. Суд счел подтвержденным имущественное положение в целях отсрочки, поэтому удовлетворяет ходатайство. Руководствуясь статьей 184 Арбитражного процессуального кодекса Российской Федерации, статьей 333.22 Налогового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предоставить обществу с ограниченной ответственностью «Аиркат Климатехник» отсрочку уплаты государственной пошлины до окончания производства по поданной им кассационной жалобе. Судья Верховного Суда Российской Федерации Н.А. Ксенофонтова Суд: Верховный Суд РФ (подробнее) Истцы: ООО "Крон" (подробнее) Ответчики: ООО "Аиркат Климатехник" (подробнее) Судьи дела: Ксенофонтова Н.А. (судья) (подробнее) Последние документы по делу: Определение от 2 ноября 2020 г. по делу № А56-35702/2019 Определение от 4 сентября 2020 г. по делу № А56-35702/2019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