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20.11.2019, оставленным без изменения постановлением Седьмого арбитражного апелляционного суда от 24.01.2020, иск удовлетворен. Арбитражный суд Западно-Сибирского округа постановлением от 09.07.2020 решение от 20.11.2019 и постановление Седьмого арбитражного апелляционного суда от 24.01.2020 оставил без изменения. В кассационной жалобе компания просит об отмене судебных актов, ссылаясь на отсутствие условия для взыскания штрафа за переадресовку вагонов и недостоверные доказательства простоя.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ответственности и нарушения ответчиком обязательств, за которые она применяется, поэтому удовлетворили иск в соответствии с договором от 01.01.2019 № ГКВС-8/2019 и статьями 309, 310, 330, 779 Гражданского кодекса Российской Федерации. Отличная от судебной оценка заявителем обстоятельств исполнения договора и представленных доказательств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«Нефтяная компания «Содружество»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