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Тамбовской области от 09.12.2019, оставленным без изменения постановлением Девятнадцатого арбитражного апелляционного суда от 27.02.2020 и постановлением Арбитражного суда Центрального округа от 02.07.2020, иск удовлетворен. В кассационной жалобе общество «Инжавинская птицефабрика» просит об отмене судебных актов, ссылаясь на предъявление иска к ненадлежащему лицу.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Правоотношения участвующих в деле лиц, возникшие в связи с заключением, исполнением и изменением состава участников и обязательств (в том числе в отношении спорного имущества) договора генерального подряда от 14.06.2017 № 5, исследованы судами. Суды установили, что птицефабрика является ответственной за оплату спорного имущества, учитывая, что оно установлено на принадлежащем ей объекте и не оплачено ею. Доводы кассационной жалобы не подтверждают нарушения норм права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«Инжавинская птицефабрика»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