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30.12.2019, оставленным без изменения постановлением Тринадцатого арбитражного апелляционного суда от 04.02.2020, в удовлетворении иска отказано в связи с отсутствием страхового случая. Арбитражный суд Северо-Западного округа постановлением от 23.06.2020 решение от 30.12.2019 и постановление Тринадцатого арбитражного апелляционного суда от 04.02.2020 оставил без изменения. В кассационной жалобе акционерное общество «Пер Аарслефф» просит об отмене судебных актов вследствие ничтожности условия об освобождении страховщика от исполнения обязательства в случае хищения автомобиля при неработающей охранной системе.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Довод заявителя о ничтожности примененного судами условия страхования как противоречащего статье 963 Гражданского кодекса Российской Федерации и сложившейся судебной практике ошибочен. В указанной правовой норме и разъяснениях судов поименованы обстоятельства, которые связаны с освобождением страховщика от выплаты страхового возмещения при наступившем страховом случае, тогда как в рассматриваемом споре произошедшее событие (хищение транспортного средства при неработающей противоугонной системе, соответствующей требованиям страховщика) исключено из числа страховых случаев самими сторонами договора страхования (статьи 421, 942 Гражданского кодекса Российской Федерации). Поскольку хищение транспортного средства истца при указанных в пункте 3.5.7 Правил страхования обстоятельствах установлено судами, вывод о непопадании его под страховую защиту соответствует договору.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«Пер Аарслефф»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