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«ТрилайнСистемс» срок подачи кассационной жалобы на решение Арбитражного суда города Москвы от 02.12.2019 по делу № А40-233882/2019, постановление Девятого арбитражного апелляционного суда от 03.03.2020 и постановление Арбитражного суда Московского округа от 25.06.2020 по тому же делу. Судья Верховного Суда Российской Федерации Н.А. Ксенофонтова Суд: Верховный Суд РФ (подробнее) Истцы: ООО "ТРИЛАЙНСИСТЕМС" (подробнее) Ответчики: АО "Альфа-Банк"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