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19.12.2019, оставленным без изменения постановлением Восьмого арбитражного апелляционного суда от 13.03.2020 и постановлением Арбитражного суда Западно-Сибирского округа от 03.07.2020, в удовлетворении иска отказано. В кассационной жалобе общество «РусСибКонтроль» просит об отмене судебных актов, указывая на получение выплаты по гарантии неправомочным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истцом (исполнителем) сороков исполнения обязательств по договору от 13.04.2018 № 18/3500/18/9760, явившееся основанием для совершения платежа по банковской гарантии в пользу ответчика (заказчика). Поскольку для получения спорной суммы имелись основания, суды правомерно отказали в иске в соответствии со статьями 309, 368, 369, 1102 Гражданского кодекса Российской Федерации. Доводы рассматриваемой кассационной жалобы повторяют доводы, заявленные судам и получившие их правовую оценку.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«РусСибКонтроль»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