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18.10.2019, оставленным без изменения постановлением Седьмого арбитражного апелляционного суда от 19.02.2020, в удовлетворении иска отказано. Арбитражный суд Западно-Сибирского округа постановлением от 02.07.2020 решение от 18.10.2019 и постановление Седьмого арбитражного апелляционного суда от 19.02.2020 оставил без изменения. В кассационной жалобе предприниматель Чернышев А.А. просит об отмене указанных судебных актов, ссылаясь на отсутствие оценки совершения оспариваемой сделки под влиянием обмана.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Риск, связанный с передачей расписки, в которой подтверждено получение денежных средств, возложен судами на заявителя в силу статей 432, 433, 807, 808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Чернышеву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