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18.10.2019, оставленным без изменения постановлением Шестнадцатого арбитражного апелляционного суда от 22.01.2020 и постановлением Арбитражного суда Северо-Кавказского округа от 30.06.2020, в удовлетворении первоначального иска отказано, встречный иск удовлетворен. 2 В кассационной жалобе банк просит об отмене судебных актов вследствие применения оснований недействительности гарантии, противоречащих федеральному законодательству.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правомерно учитывали, что оспариваемая гарантия выдана публично-правовым образованием, следовательно, к ней применяются основания и последствия недействительности сделок, предусмотренные пунктом 2 статьи 168 Гражданского кодекса Российской Федерации. Законодательство Республики Дагестан, на соответствие которому гарантия проверялась судами, не признано противоречащим федеральному в установленном порядке, поэтому связанный с его применением довод жалобы является неосновательным.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«Дагэнергобанк»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