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09.01.2020, оставленным без изменения постановлением Двенадцатого арбитражного апелляционного суда от 02.03.2020 и постановлением Арбитражного суда Поволжского округа от 02.07.2020, иск удовлетворен частично. В кассационной жалобе общество «Компания «АЛС и ТЕК» просит о пересмотре судебных актов, ссылаясь на неправомерное взыскание долга после расторжения договора.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фактическое оказание истцом услуг после прекращения договора на техническое обслуживание оптических волокон ЛКС ВОЛП от 30.10.2014 № RN 1120/2014, являющееся в силу статей 395, 779, 781 Гражданского кодекса Российской Федерации основанием возникновения обязанности по оплате услуг. Приведенные в рассматриваемой жалобе доводы повторяют доводы, заявленные судам и получившие правовую оценку. Оспаривание подателем жалобы установленных судами обстоятельств дела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«АЛС и ТЕК»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