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30.01.2020 первоначальный иск удовлетворен в заявленном объеме, в удовлетворении встречного иска отказано. Тринадцатый арбитражный апелляционный суд постановлением от 19.05.2020 изменил решение, взыскав с предпринимателя 222 000 рублей неосновательного обогащения, 20 640 рублей 68 копеек процентов за пользование чужими денежными средствами за период с 16.10.2018 по 22.01.2020 и с 23.01.2020 по дату фактического исполнения обязательства, 31 602 рубля 21 копейку судебных издержек; в удовлетворении встречного иска отказал. 2 Арбитражный суд Северо-Западного округа постановлением от 27.07.2020 постановление Тринадцатого арбитражного апелляционного суда от 19.05.2020 оставил без изменения. В кассационной жалобе предприниматель просит об отмене судебных актов, ссылаясь на игнорирование заявления о фальсификации доказательств и ходатайства о проведении судебной экспертизы, отсутствие документов, подтверждающих заключение договора перевозки.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Результат рассмотрения заявления предпринимателя о фальсификации и ходатайства о проведении судебной экспертизы отражен в судебных актах. Руководствуясь статьями 8, 160, 161, 432, 785, 1102, 1109 Гражданского кодекса Российской Федерации, суды удовлетворили иск по установленным обстоятельствам заключения сторонами договоров-заявок на перевозку груза посредством обмена электронными документами и неоказание ответчиком услуг в полном объеме. Вопросы доказывания и оценки доказательств, заложенные в доводах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Пивненко Л.А.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