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19.11.2019, оставленным без изменения постановлением Девятого арбитражного апелляционного суда от 02.03.2020 и постановлением Арбитражного суда Московского округа от 02.07.2020,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спорных соглашений, суды первой и апелляционной инстанций пришли к выводу о наличии у ответчика обязанности по выплате истцу премии и, проверив и признав верным представленный последним расчет, руководствуясь статьями 309, 310, 327.1, 395, 431 Гражданского кодекса Российской Федерации, разъяснениями, приведенными в пункте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удовлетворили исковые требования, с чем впоследствии согласился суд округа. Доводы кассационной жалобы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права, повлиявших на исход дела, не подтверждают, поэтому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