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09.12.2019, оставленным без изменения постановлением Четвертого арбитражного апелляционного суда от 18.03.2020 и постановлением Арбитражного суда Восточно-Сибирского округа от 26.06.2020, в иске отказано. В кассационной жалобе общество «Промышленно-транспортное снабжение» просит о пересмотре судебных актов,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Заявление о фальсификации доказательств рассмотрено судом в порядке статьи 161 Арбитражного процессуального кодекса Российской Федерации. Результат проверки заявления ответчика о фальсификации договора уступки права требования № 11/02-2018 от 14.11.2018 отражен в обжалуемом судебном акте, и такое разрешение этого заявления соответствует компетенции суда.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«Промышленно- транспортное снабжение»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