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«Научно-техническое объединение «Разработка» удовлетворить. Срок подачи кассационной жалобы на решение Арбитражного суда Республики Татарстан от 29.11.2019, постановление Одиннадцатого арбитражного апелляционного суда от 20.02.2020 и постановление Арбитражного суда Поволжского округа от 25.06.2020 по делу № А65-15025/2019 восстановить.Судья Верховного Суда Российской Федерации Н.С. Чучунова Суд: Верховный Суд РФ (подробнее) Истцы: ООО "Научно-техническое объединение "Разработка", г.Бугульма (подробнее) Ответчики: ООО "РосИнжиниринг", г. Первоуральск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