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25.10.2019 исковые требования удовлетворены. Постановлением Десятого арбитражного апелляционного суда от 05.02.2020 решение суда первой инстанции отменено, в удовлетворении иска отказано. Арбитражный суд Московского округа постановлением от 23.07.2020 постановление суда апелляционной инстанции оставил без изменения. В кассационной жалобе, поданной в Верховный Суд Российской Федерации, общество, ссылаясь на существенные нарушения норм материального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и обществом заключен государственный контракт от 29.12.2015 № 75/2015 на выполнение работ по строительству объекта, цена которого является твердой и составляет 2 667 579 309 рублей 42 копейки (в редакции дополнительного соглашения к контракту от 06.03.2019 № 11). В обоснование иска общество указало, что в ходе выполнения работ по контракту возникла необходимость выполнения дополнительных работ (перевозка песка), не учтенных в переданной заказчиком проектной документации, но неразрывно связанных с работами, предусмотренными контрактом и необходимыми для сдачи объекта в эксплуатацию, стоимость которых составила 101 292 496 рублей 33 копейки. Подрядчик полагая, что был вынужден нести дополнительные затраты на выполнение перевозки песка для строительства объекта, а у заказчика возникла обязанность по их оплате, обратился в суд за взысканием задолженности в размере 56 227 343 рублей 68 копеек. Суд первой инстанции, установив, что дополнительные работы по транспортировке песка, выполненные подрядчиком, являлись необходимыми для обеспечения результата работ, взыскал в пользу общества их стоимость. Отменяя решение суда первой инстанции, суд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309 , 310 , 740 , 743 , 746 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пунктах 12, 20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постановлениях Президиума Высшего Арбитражного Суда Российской Федерации от 28.05.2013 № 18045/12, от 04.06.2013 № 37/13, пришел к выводу об отсутствии у заказчика оснований по оплате спорных дополнительных работ, с чем согласился суд округа. При этом суд апелляционной инстанции исходил из того, что спорные работы не были включены в проектно-сметную документацию и не согласованы сторонами. Обстоятельства данного спора и представленные доказательства были предметом рассмотрения и оценки судов. Доводы общества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«Инвестиционно-финансовая строительная компания «АРКС»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"Инвестиционно-финансовая строительная компания "АРКС" (подробнее) Ответчики: ГОСУДАРСТВЕННОЕ КАЗЕННОЕ УЧРЕЖДЕНИЕ МОСКОВСКОЙ ОБЛАСТИ "ДИРЕКЦИЯ ДОРОЖНОГО СТРОИТЕЛЬСТВА" (подробнее) Судьи дела: Антонова М.К.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