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16.06.2019, оставленным без изменения постановлением Второго арбитражного апелляционного суда от 06.12.2019 и постановлением Арбитражного суда Волго-Вятского округа от 12.08.2020, в удовлетворении заявленного требования отказано. В кассационных жалобах, поданных в Верховный Суд Российской Федерации, общество и Громов В.Б., ссылаясь на существенное нарушение норм права, просят отменить судебные акты и направить дело на новое рассмотрение в суд первой инстанции.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общества за период с 01.01.2012 по 31.12.2014, по результатам составлен акт и вынесено решение от 31.03.2017 № 15-17/1/9. Данным решением общество привлечено к налоговой ответственности по пунктам 1, 3 статьи 122 Налогового кодекса Российской Федерации (далее – Налоговый кодекс) в виде штрафов в сумме 39 788 070 рублей 20 копеек, доначислено 316 249 227 рублей налога на добавленную стоимость (далее – НДС) и 25 012 227 рублей налога на прибыль, начислены соответствующие суммы пеней по данным налогам. Кроме того, налогоплательщику предложено уменьшить на исчисленный в завышенном размере налог на прибыль за 2012 год по сроку уплаты 28.03.2013 в сумме 2 408 799 рублей и внести необходимые исправления в документы бухгалтерского и налогового учета. Основанием для принятия решения послужил вывод налогового органа о занижении обществом налоговой базы за счет сокрытия части выручки (разницы между стоимостью, по которой товар приобретен у иностранной компании, и реальной выручкой, полученной от продажи товара фактическим покупателям) путем формальной реализации импортного химического сырья по цепочке искусственно введенных фирм – ООО «ИнтерХим» и ООО «ТимКорп». Признавая решение инспекции законным, суды, оценив представленные в материалы дела доказательства, руководствуясь положениями статей 105.1, 153, 154, 169, 171, 172, 247, 249, 252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доказанности совокупности обстоятельств, свидетельствующих о создании обществом схемы, направленной на получение необоснованной налоговой выгоды путем занижения доходов от реализации продукции с целью уменьшения налоговых обязательств и вывода части прибыли через подконтрольные организации ООО «ИнтерХим» и ООО «ТимКорп» за пределы Российской Федерации. 3 Суды указали на формальное включение ООО «ИнтерХим» и ООО «ТимКорп» в цепочку продажи химической продукции действительным покупателям при фактическом осуществлении таможенного оформления и доставки товаров до конечных покупателей, обеспечении приемки товара по количеству и качеству, а также ведении бухгалтерского учета непосредственно самим обществом. Доводы, изложенные в кассационных жалобах, в том числе о ненадлежащем рассмотрении заявления Громова В.Б. о фальсификации доказательств, неверном определении налоговых обязательств общества, сопоставимости цен реализации химической продукции с ценами на закупку аналогичного сырья у крупных импортеров, являлись предметом рассмотрения судов и получили надлежащую правовую оценку с учетом установленных обстоятельств спора. Приведенные доводы не опровергают выводы судов, не подтверждают существенного нарушения норм материального и процессуального права, повлиявших на исход дела, по сути, направлены на переоценку доказательств и установление по делу иных фактических обстоятельств, что не может служить основанием для передачи жалоб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 производственная коммерческая фирма «Контур» и Громову Владимиру Борисовичу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