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Частная охранная организация «Охрана» (далее – истец) обратилось в Арбитражный суд города Москвы с иском к федеральному государственному бюджетному учреждению «Рослесинфорг» (далее – ответчик) о признании недействительным решения ответчика от 05.03.2019 № 091-220 об одностороннем отказе от исполнения контракта от 29.12.2018 № ОК-001208 (далее – контракт), о признании законным решения истца от 26.02.2019 об одностороннем отказе от исполнения контракта, о взыскании оплаты за оказанные услуги охраны за январь 2019 года в сумме 74 400 рублей, за февраль 2019 года в сумме 67 200 рублей, за март 2019 года в сумме 20 100 рублей, с учетом уточнения требований в порядке статьи 49 Арбитражного процессуального кодекса Российской Федерации. Решением Арбитражного суда города Москвы от 30.09.2019, оставленным без изменения постановлением Девятого арбитражного апелляционного суда от 21.01.2020, истцу отказано в удовлетворении заявленных требований. Арбитражный суд Московского округа постановлением от 03.07.2020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ответчиком (заказчиком) контракту, истец нарушил условия контракта и не устранил допущенные недостатки по требованиям ответчика, что подтверждается мотивированным отказом ответчика от подписания актов приемки услуг и претензиями ответчика,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правомерным отказ ответчика от оплаты услуг и принятие ответчиком решения от 05.03.2019 № 091-220 об одностороннем отказе от исполнения контракта.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оснований для удовлетворения заявленных истцом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надлежащую правовую оценку с учетом установленных обстоятельств дела, в том числе относительно условий контракта и действий сторон при его исполнении.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частная охранная организация "ОХРАНА" (подробнее) Ответчики: ФГБУ "Рослесинфорг"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