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«Донкарб Графит» (далее – общество) обратилось в Арбитражный суд Челябинской области с заявлением к государственному учреждению – Челябинское региональное отделение Фонда социального страхования Российской Федерации (далее – фонд) о признании недействительными решений от 04.07.2019 № 165/278, № 219/277, № 246/277. Решением Арбитражного суда Челябинской области от 28.11.2019, оставленным без изменения постановлением Восемнадцатого арбитражного апелляционного суда от 06.02.2020, обществу отказано в удовлетворении заявления. 2 Арбитражный суд Уральского округа постановлением от 08.07.2020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обжалуемых судебных актов, признавая правомерными оспариваемые решения фонда, суды указали, что предусмотренное частью 2 статьи 11.1 Федерального закона от 29.12.2006 № 255-ФЗ «Об обязательном социальном страховании на случай временной нетрудоспособности и в связи с материнством» право лиц на получение пособия по уходу за ребенком компенсирует заработок, утраченный из-за неполного рабочего времени, сокращение которого вызвано необходимостью в оставшееся рабочее время продолжать осуществлять уход за ребенком. Однако, в рассматриваемом случае имело место незначительное сокращение рабочего времени, которое не может расцениваться как мера, необходимая для продолжения осуществления ухода за ребенком, повлекшая утрату заработка. В такой ситуации, пособие по уходу за ребенком уже не является компенсацией утраченного заработка, а приобретает характер дополнительного материального стимулирования работника. Выплата пособия при минимальном сокращении продолжительности рабочего дня противоречит целям установления и назначения самого пособия. Кроме того, суды указали, что пропорциональное снижение заработной платы на 3%, 6,6%, 6,7%, 8% и 8,2% было несоразмерно меньше полученного за счет средств фонда пособия в размере 40% от заработной платы. Установив все обстоятельства, имеющие существенное значение для рассмотрения дела, на основании полного и всестороннего исследования и 3 оценки имеющихся в деле доказательств в их совокупности и взаимосвязи, суды пришли к выводу о том, что расходы на выплату пособия по уходу за ребенком родителю, не осуществляющему фактического ежедневного ухода за ребенком, правомерно не приняты фондом к зачету,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