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«Домостроительный комбинат № 1» обратилось в суд с ходатайством об отмене обеспечительных мер, ранее принятых определением Арбитражного суда города Москвы от 07.02.2019. Определением Арбитражного суда города Москвы от 20.12.2019, оставленным без изменения постановлениями Девятого арбитражного апелляционного суда от 23.03.2020 и Арбитражного суда Московского округа от 15.07.2020, ходатайство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ходатайства.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Удовлетворяя ходатайство, суд первой инстанции руководствовался положениями статьи 97 Арбитражного процессуального кодекса Российской Федерации, пунктом 10 постановления Пленума Высшего Арбитражного суда Российской Федерации от 12.10.2006 № 55 «О применении арбитражными судами обеспечительных мер» и пришёл к выводу о том, что сохранение обеспечительных мер в существующем положении применительно к новым обстоятельствам, послужившим основанием к пересмотру и отмене ряда судебных актов, в том числе о признании должника банкротом, влечёт нарушение баланса интересов участников настоящего дела о банкротстве. С указанными выводами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«Китиа Лимитед» (KITHIA LIMITED)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