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Амурской области от 10.12.2019, оставленным без изменения постановлением Шестого арбитражного апелляционного суда от 27.02.2020, признаны недействительными сделки должника: соглашение от 01.11.2016, заключенное между обществом и должником о передаче прав и обязанностей по договору финансовой аренды от 18.11.2013 № 28496 ФЛ7ХБ-13 (предмет лизинга – экскаватор DOOSAN DX 340 LCA); соглашение от 01.11.2016, заключенное обществом и должником о передаче прав и обязанностей по договору финансовой аренды от 30.04.2014 № 31422- ФЛ7ХБ-14 (предмет лизинга – экскаватор DOOSAN DX420LCA), применены последствия недействительности сделок. Не согласившись с названными судебными актами, заявитель обжаловал их в кассационном порядке. Определением Арбитражного суда Дальневосточного округа от 01.06.2020, оставленным без изменения коллегиальным определением того же суда от 07.07.2020, кассационная жалоба возвращена заявителю на основании пункта 2 части 1 статьи 281 Арбитражного процессуального кодекса Российской Федерации, в связи с пропуском срока на кассационное обжалование и отказом в его восстановлении. В кассационной жалобе, поданной в Верховный Суд Российской Федерации, заявитель просит отменить указанные определения суда округа и восстановить пропущенный срок на подачу кассационной жалобы.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кассационную жалобу, окружной суд, руководствуясь положениями статей 117, 121, 276, 281 Арбитражного процессуального кодекса Российской Федерации, пунктами 32, 34 постановления Пленума Высшего Арбитражного Суда Российской Федерации от 25.12.2013 № 99 «О процессуальных сроках», исходил из непредставления заявителем, осведомлённым надлежащим образом о рассмотрении обособленного спора с его участием, доказательств и убедительных доводов в обоснование невозможности своевременного осуществления процессуальных действий по кассационному обжалованию судебных актов в установленный законом срок, в том числе, посредством электронной системы подачи документов (http://kad.arbitr.ru). Проверяя обоснованность возврата жалобы заявителя, судебная коллегия окружного суда не установила нарушений норм процессуального права и согласилась с указанными выводами. Данные обстоятельства не свидетельствовали о лишении заявителя как участника обособленного спора права на судебную защиту. Выводы суда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«Энергия Сервис»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