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23.01.2020, оставленным без изменения постановлением Девятого арбитражного апелляционного суда от 24.04.2020, в удовлетворении иска отказано, с предпринимателя в доход федерального бюджета взыскано 12 553 руб. 57 коп. госпошлины. Постановлением Арбитражного суда Московского округа от 20.08.2020 судебные акты отменены в части взыскания с предпринимателя госпошлины, в остальной части судебные акты оставлены без изменения. Дело рассмотрено в порядке упрощенного производства. В кассационной жалобе заявитель, ссылаясь на нарушение норм материального и процессуального права, просит обжалуемые судебные акты отменить в части отказа в удовлетворении исковых требований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Указанных оснований по результатам изучения судебных актов, принятых по делу, и доводов кассационной жалобы заявителя не установлено. Принимая судебные акты, суды первой и апелляционной инстанций, руководствуясь положениями статей 625 , 665 , 669 , 1102 Гражданского кодекса Российской Федерации,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исследовав и оценив в порядке статьи 71 АПК РФ представленные в дело доказательства, проверив расчеты сальдо встречных обязательств, пришли к выводу об отсутствии на стороне ответчика неосновательного обогащения. Суд округа с выводами судов по существу спора согласился. При этом, отметив, что в материалах дела имеются доказательства уплаты государственной пошлины в установленных порядке и размере, отменил судебные акты в части взыскания с предпринимателя в доход федерального бюджета государственной пошлины. В соответствии с частью 3 статьи 291.1 АПК РФ постановления арбитражных судов округов, которыми не были отменены судебные приказы,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Доводов о незаконности постановления суда округа в части отмены судебных актов судов двух инстанций кассационная жалоба не содержит. С учетом 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АО "ВЭБ-лизинг"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