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Севастополя от 24.08.2018, оставленным без изменения постановлением Двадцать первого арбитражного апелляционного суда от 18.02.2019, иск удовлетворен частично (с учетом применения статьи 333 Гражданского кодекса Российской Федерации). Постановлением Арбитражного суда Центрального округа от 18.06.2019 решение суда первой инстанции и постановление суда апелляционной инстанции отменены, дело направлено на новое рассмотрение в Арбитражный суд города Севастополя. В кассационной жалобе, поданной в Верховный Суд Российской Федерации, общество просит изменить мотивировочную часть постановления суда округа в связи с неправильным применением норм материального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кассационных жалоб не установлено. В силу положений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судебные акты и направляя дело на новое рассмотрение, суд округа не разрешил его по существу, указав на необходимость исследования доказательств. Доводы кассационной жалобы, касающиеся выводов, изложенных в мотивировочной части постановления суда округа, не подтверждают существенных нарушений норм материального и процессуального права, повлиявших на исход дела, и не могут служить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«Государственная транспортная лизинговая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ГУ ГОСУДАРСТВЕННОЕ КАЗЕННОЕ УЧРЕЖДЕНИЕ ГОРОДА СЕВАСТОПОЛЯ ГОРОДСКОЕ ХОЗЯЙСТВО И СТРОИТЕЛЬСТВО (подробнее) Ответчики: ПАО "ГОСУДАРСТВЕННАЯ ТРАНСПОРТНАЯ ЛИЗИНГОВАЯ КОМПАНИЯ"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