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«Барс-трансавто-Бук» обратилось в Арбитражный суд Московской области с иском к предприятию о взыскании 1 206 921 103 рублей 1 копейки долга по договору от 27.01.2012 № БТБ 150212/1-1 (с учетом уточнения исковых требований в порядке статьи 49 Арбитражного процессуального кодекса Российской Федерации). Решением Арбитражного суда Московской области 21.08.2014 в удовлетворении иска отказано. Определением Десятого арбитражного апелляционного суда от 17.11.2014 апелляционный суд перешел к рассмотрению дела по правилам, установленным для рассмотрения дела в суде первой инстанции. Определением Десятого арбитражного апелляционного суда от 18.11.2014, оставленным без изменения постановлением Арбитражного суда Московского округа от 16.12.2014, производство по делу приостановлено до вступления в законную силу судебного акта по делу № А41-64413/13. В кассационной жалобе общество «Барс-трансавто-Бук» просит состоявшиеся по спору судебные акты от 18.11.2014 и от 16.12.2014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решения суда первой инстанции и других судебных актов, вынесенных по спору, доводов кассационной жалобы общества «Барс-трансавто-Бук», представленных им документов, не установлено. Приостанавливая производство по настоящему делу до вступления в законную силу судебных актов по делу № А41-64413/13, суды исходили из предмета и оснований заявленных по названным делам требований и руководствовались положениями пункта 1 части 1 статьи 143 Арбитражного кодекса Российской Федерации. Доводы заявителя не подтверждают наличие существенных нарушений норм процессуального права, повлиявших на исход дела, и не являются достаточными основаниями для пересмотра судебного акта в кассационном порядке.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обществом с ограниченной ответственностью «Барс-трансавто-Бук» Маевскому А.В.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"Барс-трансавто-Бук" (подробнее) Ответчики: ФГУП "Инжтехцентр Минобороны России" (подробнее) ФГУП "Санкт-ПетербургСКИЙ ИНЖЕНЕРНО-ТЕХНИЧЕСКИЙ ЦЕНТР МИНОБОРОНЫ РОССИИ" (подробнее) Судьи дела: Разумов И.В. (судья) Последние документы по делу: Определение от 2 ноября 2020 г. по делу № А41-38594/2013 Определение от 10 июля 2019 г. по делу № А41-38594/2013 Определение от 28 мая 2019 г. по делу № А41-38594/2013 Определение от 28 апреля 2017 г. по делу № А41-38594/2013 Определение от 11 февраля 2016 г. по делу № А41-38594/2013 Определение от 16 марта 2015 г. по делу № А41-38594/2013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