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 Полина Александровна обратилась в Арбитражный суд города Москвы с иском к обществу с ограниченной ответственностью «Енисей» (далее – Общество) о признании недействительными решений общего собрания участников Общества, оформленных протоколом от 24.09.2019 № 4. Протокольным определением Арбитражного суда города Москвы от 13.01.2020, оставленным без изменения постановлением Девятого арбитражного апелляционного суда от 03.06.2020 и постановлением Арбитражного суда Московского округа от 13.08.2020, в удовлетворении ходатайства о привлечении в качестве третьего лица Шертмана Ю.В. судом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процессуального права. В обоснование доводов жалобы заявитель указывает на неправомерность действий суда первой инстанции, нарушающих положения статьи 51 Арбитражного процессуального кодекса Российской Федерации (далее – АПК РФ). 2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Отклоняя ходатайство, суды принимая во внимание положения статей 51, 125, 126 АПК РФ, верно сослались на то, что Шертман Ю.В. на стадии принятия искового заявления к производству уже был привлечено судом к участию в деле в качестве третьего лица. Доводы заявителя о необходимости вынесения отдельного процессуального документа основаны на ошибочном толковании норм процессуального права.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Шертмана Юрия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